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80" w:rsidRPr="006C2D80" w:rsidRDefault="006C2D80" w:rsidP="006C2D80">
      <w:pPr>
        <w:rPr>
          <w:sz w:val="28"/>
          <w:szCs w:val="28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2"/>
      </w:tblGrid>
      <w:tr w:rsidR="006C2D80" w:rsidRPr="006C2D80" w:rsidTr="005301DB">
        <w:tc>
          <w:tcPr>
            <w:tcW w:w="10942" w:type="dxa"/>
          </w:tcPr>
          <w:p w:rsidR="006C2D80" w:rsidRPr="006C2D80" w:rsidRDefault="006C2D80" w:rsidP="005301DB">
            <w:pPr>
              <w:ind w:left="34" w:firstLine="284"/>
              <w:jc w:val="center"/>
              <w:rPr>
                <w:b/>
                <w:sz w:val="28"/>
                <w:szCs w:val="28"/>
              </w:rPr>
            </w:pPr>
            <w:r w:rsidRPr="006C2D80">
              <w:rPr>
                <w:b/>
                <w:sz w:val="28"/>
                <w:szCs w:val="28"/>
              </w:rPr>
              <w:t>Информационное сообщение о продаже муниципального имущества</w:t>
            </w:r>
          </w:p>
          <w:p w:rsidR="006C2D80" w:rsidRPr="006C2D80" w:rsidRDefault="006C2D80" w:rsidP="005301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</w:t>
            </w:r>
            <w:r w:rsidR="002E6290">
              <w:rPr>
                <w:rFonts w:ascii="Times New Roman" w:hAnsi="Times New Roman" w:cs="Times New Roman"/>
                <w:sz w:val="28"/>
                <w:szCs w:val="28"/>
              </w:rPr>
              <w:t>агентского договора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заключённого с администрацией </w:t>
            </w:r>
            <w:r w:rsidR="002E6290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сельского поселения 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Славянск</w:t>
            </w:r>
            <w:r w:rsidR="002E629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E62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Законом Российской Федерации от 21.12.2001 г. № 178-ФЗ «О приватизации государственного и муниципального имущества», </w:t>
            </w:r>
            <w:r w:rsidRPr="006C2D80">
              <w:rPr>
                <w:rFonts w:ascii="Times New Roman" w:hAnsi="Times New Roman"/>
                <w:sz w:val="28"/>
                <w:szCs w:val="28"/>
              </w:rPr>
              <w:t>Постановлением Правительства Российской Федерации от 12.08.2002 г. № 585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прогнозным планом (программой) приватизации муниципального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Славянск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год, утвержденным решением Совета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Славянского района от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Славянского района от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.2018 г. №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(Лот № 1) «Об условиях приватизации муниципального имущества» сообщает о продаже имущества, находящегося в муниципальной собственности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Петровского сельского поселения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Славянск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аукционе с открытой формой подачи предложения о цене</w:t>
            </w:r>
            <w:proofErr w:type="gramEnd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Аукцион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>.00 час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о адресу: г. Славянск-на-Кубани, ул. Красная, 22, актовый зал.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>Лот № 1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– автомобиль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322132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год изготовления - 200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, идентификационный номер (</w:t>
            </w:r>
            <w:r w:rsidRPr="006C2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C2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9632213290646291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цвет кузова –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государственный номер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Н 386 ЕО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23. Начальная цена предмета аукциона – </w:t>
            </w:r>
            <w:r w:rsidR="00877EBB">
              <w:rPr>
                <w:rFonts w:ascii="Times New Roman" w:hAnsi="Times New Roman" w:cs="Times New Roman"/>
                <w:sz w:val="28"/>
                <w:szCs w:val="28"/>
              </w:rPr>
              <w:t>71 00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0 рублей. Размер задатка – </w:t>
            </w:r>
            <w:r w:rsidR="00877EBB">
              <w:rPr>
                <w:rFonts w:ascii="Times New Roman" w:hAnsi="Times New Roman" w:cs="Times New Roman"/>
                <w:sz w:val="28"/>
                <w:szCs w:val="28"/>
              </w:rPr>
              <w:t>14 200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рублей. «Шаг» аукциона – </w:t>
            </w:r>
            <w:r w:rsidR="00877EBB">
              <w:rPr>
                <w:rFonts w:ascii="Times New Roman" w:hAnsi="Times New Roman" w:cs="Times New Roman"/>
                <w:sz w:val="28"/>
                <w:szCs w:val="28"/>
              </w:rPr>
              <w:t>3 550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рублей. Обременения: нет.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внесения задатка: 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Задаток вносится претендентом в полном объеме единовременным платежом на счет Продавца,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2370000023, КПП 237001001,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40702810200100000225 в ОАО «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Крайинвестбанк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» г. Краснодар, 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. № 30101810500000000516, БИК № 040349516, ОГРН 1112370000027. Задаток должен поступить на счет Продавца не позднее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36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 13 ч.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>0 мин. по московскому времени.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/>
                <w:sz w:val="28"/>
                <w:szCs w:val="28"/>
              </w:rPr>
              <w:t>Внесение задатка третьими лицами за участника, подавшего заявку для участия в аукционе, не допускается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. Документом, подтверждающим поступление задатка на счет Продавца, является выписка с этого счета. В случае недопущения претендентов к участию в аукционе на основании протокола заседания комиссии, возврат задатка производится в течение 5 (пяти) дней после подписания соответствующего протокола. Возврат задатка участникам аукциона, за исключением победителя аукциона, производится в течение 5 (пяти) дней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Настоящее информационное сообщение является публичной офертой для заключения договора о задатке в соответствии со статьей 473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письменном виде. Прием заявок и документов от претендентов на участие в аукционе, ознакомление с проектом договора купли-продажи объекта аукциона, проводится у Продавца по адресу: г. Славянск-на-Кубани, ул. 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Ковтюха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29, 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. 3,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с 09.00 до 12.00 в рабочие дни. Контактный телефон: 8-86146-4-46-60. Определение участников аукциона состоится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62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13 ч. </w:t>
            </w:r>
            <w:r w:rsidR="0035362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>0 мин.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Славянск-на-Кубани, ул. 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Ковтюха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29, каб.1. Победителем аукциона признается участник, предложивший наибольшую цену. Аукцион, в котором принял участие только один участник, признается несостоявшимся. Подведение итогов аукциона состоится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62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3908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Славянск-на-Кубани, ул.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, 22, актовый зал администрации Славянского  района. </w:t>
            </w:r>
            <w:proofErr w:type="gramStart"/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представляемые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претендентами для участия в аукционе 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с заявкой претенденты представляют следующие документы:  - </w:t>
            </w:r>
            <w:r w:rsidRPr="006C2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юридические лица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изические лица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предъявляют документ, удостоверяющий личность, или представляют копии всех его листов. В случае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Ограничения участия отдельных категорий физических и юридических лиц в приватизации: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  <w:r w:rsidR="00582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 и муниципальных унитарных предприятий, государственных и муниципальных учреждений;</w:t>
            </w:r>
            <w:r w:rsidR="00582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5" w:anchor="/document/12125505/entry/25" w:history="1">
              <w:r w:rsidRPr="006C2D8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статьей 25</w:t>
              </w:r>
            </w:hyperlink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Федерального закона;</w:t>
            </w:r>
            <w:r w:rsidR="00582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бенефициарных</w:t>
            </w:r>
            <w:proofErr w:type="spellEnd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Федерации;</w:t>
            </w:r>
            <w:r w:rsidR="00582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"контролирующее лицо" используется в том же значении, что и в </w:t>
            </w:r>
            <w:hyperlink r:id="rId6" w:anchor="/document/12160212/entry/5" w:history="1">
              <w:r w:rsidRPr="006C2D8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статье 5</w:t>
              </w:r>
            </w:hyperlink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бенефициарный</w:t>
            </w:r>
            <w:proofErr w:type="spellEnd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владелец" используются в значениях, указанных в </w:t>
            </w:r>
            <w:hyperlink r:id="rId7" w:anchor="/document/12123862/entry/3" w:history="1">
              <w:r w:rsidRPr="006C2D80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статье 3</w:t>
              </w:r>
            </w:hyperlink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      </w:r>
            <w:r w:rsidR="00582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собственниками этих земельных участков.2.</w:t>
            </w:r>
            <w:proofErr w:type="gramEnd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законом.4. В случае</w:t>
            </w:r>
            <w:proofErr w:type="gramStart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  <w:r w:rsidR="00582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  <w:proofErr w:type="gramEnd"/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счета, указанные в информационном сообщении. Перечень оснований отказа претенденту в участии в аукционе является исчерпывающим.</w:t>
            </w:r>
            <w:r w:rsidR="00582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аукциона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- аукцион ведёт аукционист; аукцион начинается с оглашения аукционистом наименования имущества, основные его характеристики и шаг аукциона; шаг аукциона не изменяется в течение всего аукциона; после оглашения аукционистом начальной цены продажи участникам аукциона предлагается заявить эту цену путем поднятия карточек;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шагу аукциона, эта цена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оглашения; 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по завершен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Аукцион, в котором принял участие только один участник, признается несостоявшимся.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аукциона в день проведения аукциона 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подписывает протокол об итогах аукциона, который является документом, удостоверяющим право победителя на заключение договора купли-продажи объекта 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торгов. Протокол об итогах аукциона направляется победителю аукциона одновременно с уведомлением о признании его победителем. </w:t>
            </w:r>
            <w:r w:rsidRPr="006C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заключения договора купли-продажи: 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купли-продажи имущества заключается Продавцом с победителем аукциона в течение пяти рабочих дней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Оплата приобретаемого имущества перечисляется в размере и сроки, указанные в договоре купли-продажи имущества, но не позднее 30 дней со дня подписания договора купли-продажи имущества на счет Продавца по следующим банковским реквизитам:</w:t>
            </w:r>
            <w:r w:rsidRPr="006C2D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муниципального образования Славянский район «Агентство территориального развития», ИНН 2370000023, КПП 237001001,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40702810200100000225 в ОАО «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Крайинвестбанк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» г. Краснодар, 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. № 30101810500000000516, БИК № 040349516, ОГРН 1112370000027. Днем оплаты считается день поступления денежных средств на расчетный счет Продавца.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торгов задаток засчитывается в счет оплаты приобретаемого имущества; - в случае не поступления на расчетный счет Продавца денежных средств за приобретаемое имущество (за минусом задатка) в течение 30 дней со дня подписания договора купли-продажи имущества, договор купли-продажи имущества расторгается в установленном законом порядке, а внесенная победителем торгов сумма задатка не возвращается.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имущества осуществляется в соответствии с законодательством Российской Федерации и договором купли-продажи </w:t>
            </w:r>
            <w:proofErr w:type="gram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но не позднее, чем через </w:t>
            </w:r>
            <w:r w:rsidRPr="006C2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тридцать дней со дня полной оплаты имущества. Ранее аукционы по Лоту № 1 не проводились. </w:t>
            </w:r>
          </w:p>
          <w:p w:rsidR="006C2D80" w:rsidRPr="006C2D80" w:rsidRDefault="006C2D80" w:rsidP="00530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«АТР»                                                  </w:t>
            </w:r>
            <w:r w:rsidR="00877E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2D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6C2D80">
              <w:rPr>
                <w:rFonts w:ascii="Times New Roman" w:hAnsi="Times New Roman" w:cs="Times New Roman"/>
                <w:sz w:val="28"/>
                <w:szCs w:val="28"/>
              </w:rPr>
              <w:t>О.В.Скорик</w:t>
            </w:r>
            <w:proofErr w:type="spellEnd"/>
          </w:p>
        </w:tc>
      </w:tr>
    </w:tbl>
    <w:p w:rsidR="006C2D80" w:rsidRPr="006C2D80" w:rsidRDefault="006C2D80" w:rsidP="006C2D80">
      <w:pPr>
        <w:rPr>
          <w:sz w:val="28"/>
          <w:szCs w:val="28"/>
        </w:rPr>
      </w:pPr>
    </w:p>
    <w:p w:rsidR="006C2D80" w:rsidRPr="006C2D80" w:rsidRDefault="006C2D80" w:rsidP="006C2D80">
      <w:pPr>
        <w:rPr>
          <w:sz w:val="28"/>
          <w:szCs w:val="28"/>
        </w:rPr>
      </w:pPr>
    </w:p>
    <w:p w:rsidR="006C2D80" w:rsidRPr="006C2D80" w:rsidRDefault="006C2D80" w:rsidP="006C2D80">
      <w:pPr>
        <w:rPr>
          <w:sz w:val="28"/>
          <w:szCs w:val="28"/>
        </w:rPr>
      </w:pPr>
    </w:p>
    <w:p w:rsidR="00DA1716" w:rsidRPr="006C2D80" w:rsidRDefault="00353620">
      <w:pPr>
        <w:rPr>
          <w:sz w:val="28"/>
          <w:szCs w:val="28"/>
        </w:rPr>
      </w:pPr>
    </w:p>
    <w:sectPr w:rsidR="00DA1716" w:rsidRPr="006C2D80" w:rsidSect="00A5363D">
      <w:pgSz w:w="11906" w:h="16838"/>
      <w:pgMar w:top="426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3"/>
    <w:rsid w:val="002D519F"/>
    <w:rsid w:val="002E6290"/>
    <w:rsid w:val="00333908"/>
    <w:rsid w:val="00353620"/>
    <w:rsid w:val="003D41E9"/>
    <w:rsid w:val="00582344"/>
    <w:rsid w:val="005A55B3"/>
    <w:rsid w:val="006C2D80"/>
    <w:rsid w:val="00877EBB"/>
    <w:rsid w:val="0093104A"/>
    <w:rsid w:val="009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C2D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C2D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2018-10-11T12:02:00Z</cp:lastPrinted>
  <dcterms:created xsi:type="dcterms:W3CDTF">2018-10-15T04:45:00Z</dcterms:created>
  <dcterms:modified xsi:type="dcterms:W3CDTF">2018-10-15T04:45:00Z</dcterms:modified>
</cp:coreProperties>
</file>