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6100C" w:rsidRDefault="002C282A" w:rsidP="00107E90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 xml:space="preserve">ИЗВЕЩЕНИЕ О ПРОВЕДЕНИИ ТОРГОВ (В </w:t>
      </w:r>
      <w:r w:rsidR="00D23721" w:rsidRPr="00D6100C">
        <w:rPr>
          <w:rFonts w:ascii="Times New Roman" w:hAnsi="Times New Roman"/>
          <w:b w:val="0"/>
          <w:sz w:val="22"/>
          <w:szCs w:val="22"/>
        </w:rPr>
        <w:t>ФОРМЕ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 АУКЦИОНА)</w:t>
      </w:r>
    </w:p>
    <w:p w:rsidR="00D6100C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</w:t>
      </w:r>
      <w:r w:rsidR="00A35EF2" w:rsidRPr="00D6100C">
        <w:rPr>
          <w:rFonts w:ascii="Times New Roman" w:hAnsi="Times New Roman"/>
          <w:b w:val="0"/>
          <w:sz w:val="22"/>
          <w:szCs w:val="22"/>
        </w:rPr>
        <w:t xml:space="preserve"> </w:t>
      </w:r>
      <w:r w:rsidR="0057121E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0318300225014000283-0170853-01 от 10.06.2014 г. 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сообщает о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проведении </w:t>
      </w:r>
      <w:r w:rsidR="00D61DB4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1</w:t>
      </w:r>
      <w:r w:rsidR="000346F1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4</w:t>
      </w:r>
      <w:r w:rsidR="00F755C3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D61DB4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но</w:t>
      </w:r>
      <w:r w:rsidR="00137AFC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ября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2014 г. в 1</w:t>
      </w:r>
      <w:r w:rsidR="00AA74D6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4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.00 час</w:t>
      </w:r>
      <w:proofErr w:type="gramStart"/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г. Славянск-на-Кубани, ул. Красная, 22, актовый зал администрации муниципального образования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Славянский район, торгов</w:t>
      </w:r>
      <w:r w:rsidR="00176F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 продаже земельных участков, </w:t>
      </w:r>
      <w:r w:rsidR="001B1E2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находящихся на территории муниципального образования Славянский район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или права на заключение договоров аренды таких земельных участков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в границах, указанных в кадастр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вых паспортах земельных участков: </w:t>
      </w:r>
    </w:p>
    <w:p w:rsidR="005B0C4D" w:rsidRDefault="005B0C4D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12 320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2 464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616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12 320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2 464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616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11 167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2 234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559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Обременения: нет.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11 167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2 234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559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11 467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2 294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574 рубля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11 467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2 294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574 рубля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23:27:0603002:10348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40/17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м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11 467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2 294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она – 574 рубля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Default="00D61DB4" w:rsidP="00B2346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8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23:27:0603003:10801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/17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1 6</w:t>
      </w:r>
      <w:r w:rsidR="00E21F9C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23:27:0603003:10791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/42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1 6</w:t>
      </w:r>
      <w:r w:rsidR="00E21F9C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Pr="00B23469" w:rsidRDefault="001E2FBF" w:rsidP="00D61DB4">
      <w:pPr>
        <w:pStyle w:val="2"/>
        <w:tabs>
          <w:tab w:val="left" w:pos="720"/>
        </w:tabs>
        <w:jc w:val="both"/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23:27:0603003:10792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/47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9 044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1 809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453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23:27:1102088:32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Краснода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ст.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Анастасиевская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Больничная,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д.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27-а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347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под огород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24 595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4 919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1 230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23:48:0102012:1227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г. Славянск-на-Кубани, ул.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Отдельская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д. 257/22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563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под магазин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839 433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167 887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41 972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Default="003F5FBB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23:27:1002002:232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адресу: </w:t>
      </w:r>
      <w:proofErr w:type="gramStart"/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Краснода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край, 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Славянский район,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Коржевский</w:t>
      </w:r>
      <w:proofErr w:type="spellEnd"/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вдоль автодороги г. Темрюк - г. Краснодар - г. Кропоткин - граница Ставропольского края км 35+100 (слева)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7607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для строительства автомобильной заправочной ста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ции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1 894 143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378 829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94 707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="000E10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Default="0011268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23:27:0502002:10877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адресу: </w:t>
      </w:r>
      <w:proofErr w:type="gramStart"/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дар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ский край, Славянский район, Целинное сельское поселение, п. Целинный, улица Зеленая, 16 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общей площ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дью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305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под магазин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36 600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745A9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7 320</w:t>
      </w:r>
      <w:r w:rsidR="006901A7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F5FB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1 830</w:t>
      </w:r>
      <w:r w:rsidR="003F5FB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нет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Pr="00045CAD" w:rsidRDefault="006901A7" w:rsidP="00045CA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6100C">
        <w:rPr>
          <w:rFonts w:ascii="Times New Roman" w:hAnsi="Times New Roman"/>
          <w:color w:val="000000" w:themeColor="text1"/>
        </w:rPr>
        <w:t xml:space="preserve">Лот № </w:t>
      </w:r>
      <w:r w:rsidR="00D61DB4">
        <w:rPr>
          <w:rFonts w:ascii="Times New Roman" w:hAnsi="Times New Roman"/>
          <w:color w:val="000000" w:themeColor="text1"/>
        </w:rPr>
        <w:t>15</w:t>
      </w:r>
      <w:r w:rsidRPr="00D6100C">
        <w:rPr>
          <w:rFonts w:ascii="Times New Roman" w:hAnsi="Times New Roman"/>
          <w:color w:val="000000" w:themeColor="text1"/>
        </w:rPr>
        <w:t xml:space="preserve">: </w:t>
      </w:r>
      <w:r w:rsidR="005A5CB4" w:rsidRPr="005A5CB4">
        <w:rPr>
          <w:rFonts w:ascii="Times New Roman" w:hAnsi="Times New Roman"/>
          <w:color w:val="000000" w:themeColor="text1"/>
        </w:rPr>
        <w:t xml:space="preserve">право на заключение договора аренды </w:t>
      </w:r>
      <w:r w:rsidR="005A5CB4" w:rsidRPr="005A5CB4">
        <w:rPr>
          <w:rFonts w:ascii="Times New Roman" w:hAnsi="Times New Roman"/>
          <w:color w:val="000000"/>
        </w:rPr>
        <w:t xml:space="preserve">земельного участка с кадастровым номером 23:27:1101000:10813, расположенного по адресу: Краснодарский край, Славянский район, </w:t>
      </w:r>
      <w:proofErr w:type="spellStart"/>
      <w:r w:rsidR="005A5CB4" w:rsidRPr="005A5CB4">
        <w:rPr>
          <w:rFonts w:ascii="Times New Roman" w:hAnsi="Times New Roman"/>
          <w:color w:val="000000"/>
        </w:rPr>
        <w:t>Анастасиевское</w:t>
      </w:r>
      <w:proofErr w:type="spellEnd"/>
      <w:r w:rsidR="005A5CB4" w:rsidRPr="005A5CB4">
        <w:rPr>
          <w:rFonts w:ascii="Times New Roman" w:hAnsi="Times New Roman"/>
          <w:color w:val="000000"/>
        </w:rPr>
        <w:t xml:space="preserve"> сел</w:t>
      </w:r>
      <w:r w:rsidR="005A5CB4" w:rsidRPr="005A5CB4">
        <w:rPr>
          <w:rFonts w:ascii="Times New Roman" w:hAnsi="Times New Roman"/>
          <w:color w:val="000000"/>
        </w:rPr>
        <w:t>ь</w:t>
      </w:r>
      <w:r w:rsidR="005A5CB4" w:rsidRPr="005A5CB4">
        <w:rPr>
          <w:rFonts w:ascii="Times New Roman" w:hAnsi="Times New Roman"/>
          <w:color w:val="000000"/>
        </w:rPr>
        <w:t xml:space="preserve">ское поселение, в 500 м по направлению на запад от ориентира </w:t>
      </w:r>
      <w:proofErr w:type="spellStart"/>
      <w:r w:rsidR="005A5CB4" w:rsidRPr="005A5CB4">
        <w:rPr>
          <w:rFonts w:ascii="Times New Roman" w:hAnsi="Times New Roman"/>
          <w:color w:val="000000"/>
        </w:rPr>
        <w:t>ст-ца</w:t>
      </w:r>
      <w:proofErr w:type="spellEnd"/>
      <w:r w:rsidR="005A5CB4" w:rsidRPr="005A5CB4">
        <w:rPr>
          <w:rFonts w:ascii="Times New Roman" w:hAnsi="Times New Roman"/>
          <w:color w:val="000000"/>
        </w:rPr>
        <w:t xml:space="preserve"> </w:t>
      </w:r>
      <w:proofErr w:type="spellStart"/>
      <w:r w:rsidR="005A5CB4" w:rsidRPr="005A5CB4">
        <w:rPr>
          <w:rFonts w:ascii="Times New Roman" w:hAnsi="Times New Roman"/>
          <w:color w:val="000000"/>
        </w:rPr>
        <w:t>Анастасиевская</w:t>
      </w:r>
      <w:proofErr w:type="spellEnd"/>
      <w:r w:rsidR="005A5CB4" w:rsidRPr="005A5CB4">
        <w:rPr>
          <w:rFonts w:ascii="Times New Roman" w:hAnsi="Times New Roman"/>
          <w:color w:val="000000"/>
        </w:rPr>
        <w:t xml:space="preserve">, общей площадью 328000 кв. м., категория земель: земли сельскохозяйственного назначения, разрешенное использование земельного участка: для сельскохозяйственного использования. </w:t>
      </w:r>
      <w:r w:rsidR="005A5CB4" w:rsidRPr="005A5CB4">
        <w:rPr>
          <w:rFonts w:ascii="Times New Roman" w:hAnsi="Times New Roman"/>
          <w:color w:val="000000" w:themeColor="text1"/>
        </w:rPr>
        <w:t xml:space="preserve">Начальный размер платы за право заключения договора аренды земельного участка составляет – 78 720 рублей. </w:t>
      </w:r>
      <w:r w:rsidR="005A5CB4" w:rsidRPr="005A5CB4">
        <w:rPr>
          <w:rFonts w:ascii="Times New Roman" w:hAnsi="Times New Roman"/>
          <w:color w:val="000000"/>
        </w:rPr>
        <w:t xml:space="preserve">Размер задатка – </w:t>
      </w:r>
      <w:r w:rsidR="005A5CB4">
        <w:rPr>
          <w:rFonts w:ascii="Times New Roman" w:hAnsi="Times New Roman"/>
          <w:color w:val="000000" w:themeColor="text1"/>
        </w:rPr>
        <w:t>100 000</w:t>
      </w:r>
      <w:r w:rsidR="005A5CB4" w:rsidRPr="005A5CB4">
        <w:rPr>
          <w:rFonts w:ascii="Times New Roman" w:hAnsi="Times New Roman"/>
          <w:color w:val="000000" w:themeColor="text1"/>
        </w:rPr>
        <w:t xml:space="preserve"> </w:t>
      </w:r>
      <w:r w:rsidR="005A5CB4">
        <w:rPr>
          <w:rFonts w:ascii="Times New Roman" w:hAnsi="Times New Roman"/>
          <w:color w:val="000000"/>
        </w:rPr>
        <w:t>рублей</w:t>
      </w:r>
      <w:r w:rsidR="005A5CB4" w:rsidRPr="005A5CB4">
        <w:rPr>
          <w:rFonts w:ascii="Times New Roman" w:hAnsi="Times New Roman"/>
          <w:color w:val="000000"/>
        </w:rPr>
        <w:t>. «Шаг» аукциона – 3 936 рублей.</w:t>
      </w:r>
      <w:r w:rsidR="005A5CB4" w:rsidRPr="005A5CB4">
        <w:rPr>
          <w:rFonts w:ascii="Times New Roman" w:hAnsi="Times New Roman"/>
          <w:color w:val="000000" w:themeColor="text1"/>
        </w:rPr>
        <w:t xml:space="preserve"> Срок действия договора аренды земельного участка 10 лет. Обременения: земельный участок частично входит в охранную зону ВЛ-110 </w:t>
      </w:r>
      <w:proofErr w:type="spellStart"/>
      <w:r w:rsidR="005A5CB4" w:rsidRPr="005A5CB4">
        <w:rPr>
          <w:rFonts w:ascii="Times New Roman" w:hAnsi="Times New Roman"/>
          <w:color w:val="000000" w:themeColor="text1"/>
        </w:rPr>
        <w:t>кВ</w:t>
      </w:r>
      <w:proofErr w:type="spellEnd"/>
      <w:r w:rsidR="005A5CB4" w:rsidRPr="005A5CB4">
        <w:rPr>
          <w:rFonts w:ascii="Times New Roman" w:hAnsi="Times New Roman"/>
          <w:color w:val="000000" w:themeColor="text1"/>
        </w:rPr>
        <w:t xml:space="preserve"> «</w:t>
      </w:r>
      <w:proofErr w:type="spellStart"/>
      <w:r w:rsidR="005A5CB4" w:rsidRPr="005A5CB4">
        <w:rPr>
          <w:rFonts w:ascii="Times New Roman" w:hAnsi="Times New Roman"/>
          <w:color w:val="000000" w:themeColor="text1"/>
        </w:rPr>
        <w:t>Ханьков</w:t>
      </w:r>
      <w:proofErr w:type="spellEnd"/>
      <w:r w:rsidR="005A5CB4" w:rsidRPr="005A5CB4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="005A5CB4" w:rsidRPr="005A5CB4">
        <w:rPr>
          <w:rFonts w:ascii="Times New Roman" w:hAnsi="Times New Roman"/>
          <w:color w:val="000000" w:themeColor="text1"/>
        </w:rPr>
        <w:t>Курчанская</w:t>
      </w:r>
      <w:proofErr w:type="spellEnd"/>
      <w:r w:rsidR="005A5CB4" w:rsidRPr="005A5CB4">
        <w:rPr>
          <w:rFonts w:ascii="Times New Roman" w:hAnsi="Times New Roman"/>
          <w:color w:val="000000" w:themeColor="text1"/>
        </w:rPr>
        <w:t>».</w:t>
      </w:r>
    </w:p>
    <w:p w:rsidR="007105E9" w:rsidRPr="00C45A20" w:rsidRDefault="00544663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Ограничения в пользовании земельных участков: земельные участки использовать по целевому назначению с с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блюдением требований охраны окружающей среды, экологической безопасности и санитарных правил, в соо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ветствии с Градостроительным Кодексом Российской Федерации. </w:t>
      </w:r>
      <w:proofErr w:type="gramStart"/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Основания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для выст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авления на торги - пост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новление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Администрации муниципального образования Славянский район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5B439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2625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06.10.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2624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06.10.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2626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06.10.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BA1E2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; 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2627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06.10.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014 г. 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(лот № 4)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; № 2628 от 06.10.2014 г. (лот № 5); № 2634 от 06.10.2014 г. (лот № 6); № 2633 от 06.10.2014 г. (лот № 7);</w:t>
      </w:r>
      <w:proofErr w:type="gramEnd"/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№ </w:t>
      </w:r>
      <w:proofErr w:type="gramStart"/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2632 от 06.10.2014 г. (лот № 8); № 2631 от 06.10.2014 г. (лот № 9); № 2630 от 06.10.2014 г. (лот № 10); № 2615 от 06.10.2014 г. 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(лот № 11); № 2614 от 06.10.2014 г. (лот № 12); № 2477 от 25.09.2014 г. (лот № 13); № 2478 от 25.09.2014 г. (лот № 14); № 1064 от 13.05.2014 г., № 2122 от 15.08.2014 г. (лот № 15).</w:t>
      </w:r>
      <w:proofErr w:type="gramEnd"/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гов по адресу: г. Славянск-на-Кубани, ул. Троицкая, 246, офис 3, и на сайте МУП «АТР»: www.atr-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s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lavyansk.ru, с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13 октября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по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11</w:t>
      </w:r>
      <w:r w:rsidR="003E0878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ноя</w:t>
      </w:r>
      <w:r w:rsidR="006901A7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 с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09.00 до 12.00 в рабочие дни. Осмотр земельных участков на месте осуществляется по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6901A7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.1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6901A7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2014 г. (включительно) с 09.00 до 12.00 в рабочие дни по согласов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нию, контактный телефон: 8 (86146) 4-46-60. Принятие организатором торгов решения об отказе в проведении торгов (в форме аукциона) может быть принято до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4F3AD3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4F3AD3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она) состоит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ся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в 1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.00 час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</w:t>
      </w:r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су: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Славянск-на-Кубани, ул. Троицкая, 246, офис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11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ноя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г. до 17.00 (вкл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ю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Документом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подтверждающим поступление задатка на счет организатора торгов является выписка со счета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 xml:space="preserve">организатора торгов. Один претендент имеет право подать только одну заявку на участие в торгах.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Для участия в торгах (в форме аукциона) по продаже земельных участков, находящихся на территории муниципального образ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вания Славянский район или права на заключение договоров аренды таких земельных участков претендент пре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ставляет следующие документы: 1) заявку на участие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ческого лица о совершении сделки. В случае подачи заявки представителем претендента предъявляется довере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ность удостоверенная нотариусом. Подведение итогов торгов (в форме аукциона) состоится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по адресу: г. Славянск-на-Кубани, ул.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Красная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22, актовый зал администрации муниципального образования Славянский район. 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Победителем аукциона по ло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там №№ 1, 2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, 3, 4, 5, 6, 7, 8, 9, 10, 11, 12, 13, 14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ник, предложивший наиболее высокую цену земельного участка. Победителем аукциона по лот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у № 15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Настоящее информ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ционное сообщение является публичной офертой для заключения договора о задатке, а перечисление претенде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ганизатора торгов в полном объеме единовременным платежом по следующим банковским реквизитам: Муниц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40702810200100000225 в ОАО «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Крайинвестбанк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г. Краснодар,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кор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ников торгов); -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претенденту, не допущенному к участию в торгах, в течение 3 банковских дней со дня оформл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гов, в течение 3 банковских дней со дня подписания протокола о результатах торгов.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к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упли-продажи по лотам №№ 1, 2, 3, 4, 5, 6, 7, 8, 9, 10, 11, 12, 13, 14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мости выкупаемого земельного участка, вносится в течение 5 дней после заключения договора купли-продажи земельного участка.</w:t>
      </w:r>
      <w:proofErr w:type="gramEnd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аренды по ло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2F319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15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аренды земельного участка закл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ю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D6100C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Исполняющий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обязанности 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иректор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МУП «АТР»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D61DB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А.А. </w:t>
      </w:r>
      <w:proofErr w:type="spell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Дыдалин</w:t>
      </w:r>
      <w:proofErr w:type="spellEnd"/>
    </w:p>
    <w:p w:rsidR="001B1E2C" w:rsidRPr="00D6100C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B1E2C" w:rsidRPr="00D6100C" w:rsidRDefault="001B1E2C" w:rsidP="001B1E2C">
      <w:pPr>
        <w:rPr>
          <w:color w:val="000000" w:themeColor="text1"/>
        </w:rPr>
      </w:pPr>
    </w:p>
    <w:p w:rsidR="006950FD" w:rsidRPr="00D6100C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22"/>
          <w:szCs w:val="22"/>
        </w:rPr>
      </w:pPr>
    </w:p>
    <w:p w:rsidR="00281EB0" w:rsidRPr="00D6100C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rPr>
          <w:color w:val="000000" w:themeColor="text1"/>
        </w:rPr>
      </w:pPr>
    </w:p>
    <w:p w:rsidR="00A25FEE" w:rsidRPr="00D6100C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D6100C" w:rsidRDefault="00047C24"/>
    <w:sectPr w:rsidR="00047C24" w:rsidRPr="00D6100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2" w:rsidRDefault="00127D22" w:rsidP="00E056E5">
      <w:pPr>
        <w:spacing w:after="0" w:line="240" w:lineRule="auto"/>
      </w:pPr>
      <w:r>
        <w:separator/>
      </w:r>
    </w:p>
  </w:endnote>
  <w:endnote w:type="continuationSeparator" w:id="0">
    <w:p w:rsidR="00127D22" w:rsidRDefault="00127D22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2" w:rsidRDefault="00127D22" w:rsidP="00E056E5">
      <w:pPr>
        <w:spacing w:after="0" w:line="240" w:lineRule="auto"/>
      </w:pPr>
      <w:r>
        <w:separator/>
      </w:r>
    </w:p>
  </w:footnote>
  <w:footnote w:type="continuationSeparator" w:id="0">
    <w:p w:rsidR="00127D22" w:rsidRDefault="00127D22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0145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2684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6C0A"/>
    <w:rsid w:val="00397084"/>
    <w:rsid w:val="003A2F42"/>
    <w:rsid w:val="003A7068"/>
    <w:rsid w:val="003A7A6F"/>
    <w:rsid w:val="003B0ED2"/>
    <w:rsid w:val="003B65C6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5CB4"/>
    <w:rsid w:val="005A6F51"/>
    <w:rsid w:val="005B0C4D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7351"/>
    <w:rsid w:val="00672C04"/>
    <w:rsid w:val="00682D58"/>
    <w:rsid w:val="00684B8F"/>
    <w:rsid w:val="006901A7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583C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32443"/>
    <w:rsid w:val="00C45A20"/>
    <w:rsid w:val="00C60826"/>
    <w:rsid w:val="00C6126A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4936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9A31-49A0-4343-9F1D-36EAB256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12</cp:revision>
  <cp:lastPrinted>2014-10-08T12:20:00Z</cp:lastPrinted>
  <dcterms:created xsi:type="dcterms:W3CDTF">2014-08-08T04:29:00Z</dcterms:created>
  <dcterms:modified xsi:type="dcterms:W3CDTF">2014-10-08T12:32:00Z</dcterms:modified>
</cp:coreProperties>
</file>